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9C8FB">
      <w:pPr>
        <w:spacing w:line="580" w:lineRule="exact"/>
        <w:jc w:val="center"/>
        <w:rPr>
          <w:rFonts w:ascii="方正小标宋简体" w:hAnsi="微软雅黑" w:eastAsia="方正小标宋简体"/>
          <w:b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微软雅黑" w:eastAsia="方正小标宋简体"/>
          <w:b/>
          <w:color w:val="000000"/>
          <w:sz w:val="44"/>
          <w:szCs w:val="44"/>
          <w:highlight w:val="none"/>
          <w:shd w:val="clear" w:color="auto" w:fill="FFFFFF"/>
        </w:rPr>
        <w:t>实验室管理中心服务业务指南</w:t>
      </w:r>
    </w:p>
    <w:p w14:paraId="383A3801">
      <w:pPr>
        <w:spacing w:line="580" w:lineRule="exact"/>
        <w:jc w:val="center"/>
        <w:rPr>
          <w:rFonts w:ascii="方正小标宋简体" w:hAnsi="微软雅黑" w:eastAsia="方正小标宋简体"/>
          <w:b/>
          <w:color w:val="000000"/>
          <w:sz w:val="44"/>
          <w:szCs w:val="44"/>
          <w:shd w:val="clear" w:color="auto" w:fill="FFFFFF"/>
        </w:rPr>
      </w:pPr>
    </w:p>
    <w:p w14:paraId="5BA025D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为进一步加强实验室日常管理，提升服务学校教学科研平台支撑能力，2021年12月，经学校党委研究决定设立实验室与实验设备管理中心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  <w:lang w:val="en-US" w:eastAsia="zh-CN"/>
        </w:rPr>
        <w:t>2024年10月更名为实验室管理中心。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中心主要负责承担学校实验室规划、建设、管理；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  <w:lang w:val="en-US" w:eastAsia="zh-CN"/>
        </w:rPr>
        <w:t>教学科研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仪器设备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  <w:lang w:val="en-US" w:eastAsia="zh-CN"/>
        </w:rPr>
        <w:t>采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购论证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  <w:lang w:val="en-US" w:eastAsia="zh-CN"/>
        </w:rPr>
        <w:t>与验收，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开放共享；实验室安全管理等职责。中心下设实验室管理科、设备管理科、技术安全科、综合办公室和电镜中心。</w:t>
      </w:r>
      <w:r>
        <w:rPr>
          <w:rStyle w:val="8"/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一、实验室管理科主要职责</w:t>
      </w:r>
    </w:p>
    <w:p w14:paraId="5B75B89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制定完善学校实验室建设与管理的各项规章制度；负责本科教学实验室、实验教学示范中心的规划、建设和管理工作；实验室基本信息收集、统计、分析和上报等工作；实验技术队伍建设和管理，协助人事处做好实验人员的定编定岗、职称评定、业务培训和业绩考核等工作；科研实验室的条件、环境等日常建设工作。</w:t>
      </w:r>
    </w:p>
    <w:p w14:paraId="2E50701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联系电话：4995381、4995465</w:t>
      </w:r>
    </w:p>
    <w:p w14:paraId="5507E66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黑体" w:hAnsi="黑体" w:eastAsia="黑体"/>
          <w:color w:val="000000"/>
          <w:sz w:val="32"/>
          <w:szCs w:val="32"/>
        </w:rPr>
      </w:pPr>
      <w:r>
        <w:rPr>
          <w:rStyle w:val="8"/>
          <w:rFonts w:hint="eastAsia" w:ascii="黑体" w:hAnsi="黑体" w:eastAsia="黑体"/>
          <w:b w:val="0"/>
          <w:bCs w:val="0"/>
          <w:color w:val="000000"/>
          <w:sz w:val="32"/>
          <w:szCs w:val="32"/>
        </w:rPr>
        <w:t>二、设备管理科主要职责</w:t>
      </w:r>
    </w:p>
    <w:p w14:paraId="2025730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hint="eastAsia"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制定完善学校仪器设备管理的各项规章制度；教学科研仪器设备申购论证、验收等日常管理工作；仪器设备数据收集、统计、分析和上报等工作；大型仪器设备开放共享工作；校、院两级实体共享平台建设管理工作；实体单位本科实验教学用房的核定工作。</w:t>
      </w:r>
    </w:p>
    <w:p w14:paraId="75C4F46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联系电话：4995292、4996066</w:t>
      </w:r>
    </w:p>
    <w:p w14:paraId="7F449C7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黑体" w:hAnsi="黑体" w:eastAsia="黑体"/>
          <w:color w:val="000000"/>
          <w:sz w:val="32"/>
          <w:szCs w:val="32"/>
        </w:rPr>
      </w:pPr>
      <w:r>
        <w:rPr>
          <w:rStyle w:val="8"/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三、技术安全科主要职责</w:t>
      </w:r>
    </w:p>
    <w:p w14:paraId="6BC9341D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制定完善学校实验室安全管理的各项规章制度；实验室安全信息化建设与平台运行管理；实验室技术安全分级分类管理；全校实验室技术安全检查及隐患整改监督工作；实验室管制类危化品的购买审批、存放保管、使用过程、后期处置进行监督检查；实验室特种设备、气体、废弃物安全管理；实验室技术安全培训、教育及准入工作；实验室技术安全应急预案管理等工作。</w:t>
      </w:r>
    </w:p>
    <w:p w14:paraId="1F65DFC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联系电话：4993012、4995036</w:t>
      </w:r>
    </w:p>
    <w:p w14:paraId="5C6DEDE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黑体" w:hAnsi="黑体" w:eastAsia="黑体"/>
          <w:color w:val="000000"/>
          <w:sz w:val="32"/>
          <w:szCs w:val="32"/>
        </w:rPr>
      </w:pPr>
      <w:r>
        <w:rPr>
          <w:rStyle w:val="8"/>
          <w:rFonts w:hint="eastAsia" w:ascii="黑体" w:hAnsi="黑体" w:eastAsia="黑体"/>
          <w:b w:val="0"/>
          <w:bCs w:val="0"/>
          <w:color w:val="000000"/>
          <w:sz w:val="32"/>
          <w:szCs w:val="32"/>
        </w:rPr>
        <w:t>四、综合办公室主要职责</w:t>
      </w:r>
    </w:p>
    <w:p w14:paraId="19B458D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组织协调全处科室的内部事务管理及对外协调工作；公文起草、工作计划和总结报告、处务会记录等文秘工作；学校划拨各项经费的计划编制、调配和处内各项经费支出的审核及报销工作；印信管理、处内设备、办公用品购置和固定资产建帐管理；文件资料档案的管理和立卷归档等工作；网站建设、维护和信息化工作；宣传、综治、工会等工作。</w:t>
      </w:r>
    </w:p>
    <w:p w14:paraId="700242F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联系电话：4994775</w:t>
      </w:r>
    </w:p>
    <w:p w14:paraId="151DA739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27" w:firstLineChars="196"/>
        <w:textAlignment w:val="auto"/>
        <w:rPr>
          <w:rFonts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五、电镜中心</w:t>
      </w:r>
    </w:p>
    <w:p w14:paraId="1B371C2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负责学校大型电子显微设备的管理、维护、运行工作，主要针对校内外科研人员提供透射电镜、生物样品超薄切片透射电镜观察、负染色技术、场发射扫描电镜超微结构观察等研究服务工作。</w:t>
      </w:r>
    </w:p>
    <w:p w14:paraId="2F0E506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hint="eastAsia"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联系电话：4992441、4992539</w:t>
      </w:r>
    </w:p>
    <w:p w14:paraId="7662430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8"/>
        <w:textAlignment w:val="auto"/>
        <w:rPr>
          <w:rFonts w:hint="eastAsia" w:ascii="仿宋_GB2312" w:hAnsi="微软雅黑" w:eastAsia="仿宋_GB2312"/>
          <w:color w:val="000000"/>
          <w:sz w:val="32"/>
          <w:szCs w:val="32"/>
        </w:rPr>
      </w:pPr>
      <w:bookmarkStart w:id="0" w:name="_GoBack"/>
      <w:bookmarkEnd w:id="0"/>
    </w:p>
    <w:p w14:paraId="582FB9A6">
      <w:pPr>
        <w:pStyle w:val="5"/>
        <w:numPr>
          <w:ilvl w:val="0"/>
          <w:numId w:val="1"/>
        </w:numPr>
        <w:shd w:val="clear" w:color="auto" w:fill="FFFFFF"/>
        <w:spacing w:before="0" w:beforeAutospacing="0" w:after="0" w:afterAutospacing="0" w:line="58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中心涉及的相关业务指南及流程如下：</w:t>
      </w:r>
    </w:p>
    <w:p w14:paraId="5D69754C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1.大型仪器开放共享平台使用指南</w:t>
      </w:r>
    </w:p>
    <w:p w14:paraId="34EFE0AD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ascii="仿宋_GB2312" w:hAnsi="黑体" w:eastAsia="仿宋_GB2312"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233680</wp:posOffset>
            </wp:positionV>
            <wp:extent cx="6303010" cy="4572000"/>
            <wp:effectExtent l="0" t="0" r="2540" b="0"/>
            <wp:wrapNone/>
            <wp:docPr id="2" name="图片 2" descr="D:\腾讯电脑管家截图文件\局部截取_20261026_1629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腾讯电脑管家截图文件\局部截取_20261026_16294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" r="2612"/>
                    <a:stretch>
                      <a:fillRect/>
                    </a:stretch>
                  </pic:blipFill>
                  <pic:spPr>
                    <a:xfrm>
                      <a:off x="0" y="0"/>
                      <a:ext cx="630301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78B8E1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47F1E1CA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5549DC74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0D4C8101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7BC80DB9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5F7329E9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363F7FE9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68A09E5F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626BE46F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7D00AFA8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703E66E0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5C15756B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153B58DA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153970F2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7C258E26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6545C889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31CAAE48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6B509E8A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4BC15B88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  <w:sectPr>
          <w:pgSz w:w="11906" w:h="16838"/>
          <w:pgMar w:top="2098" w:right="1474" w:bottom="1701" w:left="1587" w:header="851" w:footer="1474" w:gutter="0"/>
          <w:cols w:space="0" w:num="1"/>
          <w:docGrid w:type="lines" w:linePitch="312" w:charSpace="0"/>
        </w:sectPr>
      </w:pPr>
    </w:p>
    <w:p w14:paraId="65BBD7C8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2．管制类危化品申领流程</w:t>
      </w:r>
    </w:p>
    <w:p w14:paraId="55975671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2E7EE141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ascii="仿宋_GB2312" w:hAnsi="黑体" w:eastAsia="仿宋_GB2312"/>
          <w:color w:val="00000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170180</wp:posOffset>
            </wp:positionV>
            <wp:extent cx="8945245" cy="3907155"/>
            <wp:effectExtent l="0" t="0" r="8255" b="17145"/>
            <wp:wrapNone/>
            <wp:docPr id="4" name="图片 4" descr="E:\WeChat\xwechat_files\lws9930_0f34\temp\RWTemp\2026-10\b06bb202210a0a249f6a77a440853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WeChat\xwechat_files\lws9930_0f34\temp\RWTemp\2026-10\b06bb202210a0a249f6a77a44085316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" t="3758" r="3318" b="6675"/>
                    <a:stretch>
                      <a:fillRect/>
                    </a:stretch>
                  </pic:blipFill>
                  <pic:spPr>
                    <a:xfrm>
                      <a:off x="0" y="0"/>
                      <a:ext cx="8945245" cy="390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E98321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1CC2EC19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7D867E22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1FDF7C8C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5D4C67C0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46504720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2E5D328B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5F051F63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5CB44712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69626CF5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546641F8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7637BF2F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  <w:sectPr>
          <w:pgSz w:w="16838" w:h="11906" w:orient="landscape"/>
          <w:pgMar w:top="1587" w:right="2098" w:bottom="1474" w:left="1701" w:header="851" w:footer="1474" w:gutter="0"/>
          <w:cols w:space="0" w:num="1"/>
          <w:docGrid w:type="lines" w:linePitch="312" w:charSpace="0"/>
        </w:sectPr>
      </w:pPr>
    </w:p>
    <w:p w14:paraId="2009DF41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3．实验室安全考试准入流程</w:t>
      </w:r>
    </w:p>
    <w:p w14:paraId="7213DCEA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3A7F3DDC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ascii="仿宋_GB2312" w:hAnsi="黑体" w:eastAsia="仿宋_GB2312"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281940</wp:posOffset>
            </wp:positionV>
            <wp:extent cx="9003665" cy="3665855"/>
            <wp:effectExtent l="0" t="0" r="6985" b="10795"/>
            <wp:wrapNone/>
            <wp:docPr id="3" name="图片 3" descr="E:\WeChat\xwechat_files\lws9930_0f34\temp\RWTemp\2026-10\f9ff8bdf0605feb534a462adb7025c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WeChat\xwechat_files\lws9930_0f34\temp\RWTemp\2026-10\f9ff8bdf0605feb534a462adb7025c3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71" r="1237" b="14074"/>
                    <a:stretch>
                      <a:fillRect/>
                    </a:stretch>
                  </pic:blipFill>
                  <pic:spPr>
                    <a:xfrm>
                      <a:off x="0" y="0"/>
                      <a:ext cx="9003665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3BC205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4903A4F8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65038AAB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6FF1DDCA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6FB7E067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0FF1B828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28BD248C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1915E737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3E523EE0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30A1F78F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1C6D6158">
      <w:pPr>
        <w:pStyle w:val="5"/>
        <w:shd w:val="clear" w:color="auto" w:fill="FFFFFF"/>
        <w:spacing w:before="0" w:beforeAutospacing="0" w:after="0" w:afterAutospacing="0" w:line="580" w:lineRule="exact"/>
        <w:rPr>
          <w:rFonts w:ascii="仿宋_GB2312" w:hAnsi="黑体" w:eastAsia="仿宋_GB2312"/>
          <w:color w:val="000000"/>
          <w:sz w:val="32"/>
          <w:szCs w:val="32"/>
        </w:rPr>
      </w:pPr>
    </w:p>
    <w:p w14:paraId="27D7F748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仿宋_GB2312" w:hAnsi="黑体" w:eastAsia="仿宋_GB2312"/>
          <w:color w:val="000000"/>
          <w:sz w:val="32"/>
          <w:szCs w:val="32"/>
        </w:rPr>
        <w:sectPr>
          <w:pgSz w:w="16838" w:h="11906" w:orient="landscape"/>
          <w:pgMar w:top="1587" w:right="2098" w:bottom="1474" w:left="1701" w:header="851" w:footer="1474" w:gutter="0"/>
          <w:cols w:space="0" w:num="1"/>
          <w:docGrid w:type="lines" w:linePitch="312" w:charSpace="0"/>
        </w:sectPr>
      </w:pPr>
    </w:p>
    <w:p w14:paraId="083329FD">
      <w:pPr>
        <w:pStyle w:val="5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4．实验室每日自查打卡流程</w:t>
      </w:r>
    </w:p>
    <w:p w14:paraId="3CCA21F6">
      <w:pPr>
        <w:pStyle w:val="5"/>
        <w:shd w:val="clear" w:color="auto" w:fill="FFFFFF"/>
        <w:spacing w:before="0" w:beforeAutospacing="0" w:after="0" w:afterAutospacing="0" w:line="580" w:lineRule="exact"/>
      </w:pPr>
    </w:p>
    <w:p w14:paraId="18ED10A5">
      <w:pPr>
        <w:pStyle w:val="5"/>
        <w:shd w:val="clear" w:color="auto" w:fill="FFFFFF"/>
        <w:spacing w:before="0" w:beforeAutospacing="0" w:after="0" w:afterAutospacing="0" w:line="580" w:lineRule="exact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27305</wp:posOffset>
            </wp:positionV>
            <wp:extent cx="8733790" cy="3677920"/>
            <wp:effectExtent l="0" t="0" r="10160" b="1778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6" b="18254"/>
                    <a:stretch>
                      <a:fillRect/>
                    </a:stretch>
                  </pic:blipFill>
                  <pic:spPr>
                    <a:xfrm>
                      <a:off x="0" y="0"/>
                      <a:ext cx="8733790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37B95DA6">
      <w:pPr>
        <w:pStyle w:val="5"/>
        <w:shd w:val="clear" w:color="auto" w:fill="FFFFFF"/>
        <w:spacing w:before="0" w:beforeAutospacing="0" w:after="0" w:afterAutospacing="0" w:line="580" w:lineRule="exact"/>
      </w:pPr>
    </w:p>
    <w:p w14:paraId="1FBEFA96">
      <w:pPr>
        <w:pStyle w:val="5"/>
        <w:shd w:val="clear" w:color="auto" w:fill="FFFFFF"/>
        <w:spacing w:before="0" w:beforeAutospacing="0" w:after="0" w:afterAutospacing="0" w:line="580" w:lineRule="exact"/>
      </w:pPr>
    </w:p>
    <w:p w14:paraId="658DDD12">
      <w:pPr>
        <w:pStyle w:val="5"/>
        <w:shd w:val="clear" w:color="auto" w:fill="FFFFFF"/>
        <w:spacing w:before="0" w:beforeAutospacing="0" w:after="0" w:afterAutospacing="0" w:line="580" w:lineRule="exact"/>
      </w:pPr>
    </w:p>
    <w:p w14:paraId="7E73C56D">
      <w:pPr>
        <w:pStyle w:val="5"/>
        <w:shd w:val="clear" w:color="auto" w:fill="FFFFFF"/>
        <w:spacing w:before="0" w:beforeAutospacing="0" w:after="0" w:afterAutospacing="0" w:line="580" w:lineRule="exact"/>
      </w:pPr>
    </w:p>
    <w:sectPr>
      <w:pgSz w:w="16838" w:h="11906" w:orient="landscape"/>
      <w:pgMar w:top="1587" w:right="2098" w:bottom="1474" w:left="1701" w:header="851" w:footer="1474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B90364"/>
    <w:multiLevelType w:val="multilevel"/>
    <w:tmpl w:val="54B90364"/>
    <w:lvl w:ilvl="0" w:tentative="0">
      <w:start w:val="6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4NmU3ZTFiMzc4ODg2NTRhOWQ1MTBmZWZjODM0NGQifQ=="/>
  </w:docVars>
  <w:rsids>
    <w:rsidRoot w:val="00BE13CE"/>
    <w:rsid w:val="001F6C59"/>
    <w:rsid w:val="00361882"/>
    <w:rsid w:val="00615883"/>
    <w:rsid w:val="00691445"/>
    <w:rsid w:val="007F7611"/>
    <w:rsid w:val="0082235A"/>
    <w:rsid w:val="00844758"/>
    <w:rsid w:val="00B95CCA"/>
    <w:rsid w:val="00BE13CE"/>
    <w:rsid w:val="00F21B55"/>
    <w:rsid w:val="00FD747A"/>
    <w:rsid w:val="01312E4A"/>
    <w:rsid w:val="02B14D15"/>
    <w:rsid w:val="15F15173"/>
    <w:rsid w:val="1FD82FE3"/>
    <w:rsid w:val="284D61AD"/>
    <w:rsid w:val="391B0C4C"/>
    <w:rsid w:val="3BCE5335"/>
    <w:rsid w:val="4A4D0669"/>
    <w:rsid w:val="4D4B7A29"/>
    <w:rsid w:val="576D0A8E"/>
    <w:rsid w:val="5AAC3332"/>
    <w:rsid w:val="5D8D1B26"/>
    <w:rsid w:val="6700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977</Words>
  <Characters>1040</Characters>
  <Lines>7</Lines>
  <Paragraphs>2</Paragraphs>
  <TotalTime>1</TotalTime>
  <ScaleCrop>false</ScaleCrop>
  <LinksUpToDate>false</LinksUpToDate>
  <CharactersWithSpaces>1047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2023-11-14T09:52:00Z</dcterms:created>
  <dc:creator>微软用户</dc:creator>
  <cp:lastModifiedBy>Administrator</cp:lastModifiedBy>
  <dcterms:modified xsi:type="dcterms:W3CDTF">2026-10-27T08:36:03Z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FD84745F741B479EBEC750AA24C4DA68_13</vt:lpwstr>
  </property>
  <property fmtid="{D5CDD505-2E9C-101B-9397-08002B2CF9AE}" pid="4" name="KSOTemplateDocerSaveRecord">
    <vt:lpwstr>eyJoZGlkIjoiM2I4NmU3ZTFiMzc4ODg2NTRhOWQ1MTBmZWZjODM0NGQiLCJ1c2VySWQiOiI0MDIzNTUzNzMifQ==</vt:lpwstr>
  </property>
</Properties>
</file>